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000000" w:themeColor="text1"/>
          <w:spacing w:val="0"/>
          <w:sz w:val="44"/>
          <w:szCs w:val="44"/>
          <w14:textFill>
            <w14:solidFill>
              <w14:schemeClr w14:val="tx1"/>
            </w14:solidFill>
          </w14:textFill>
        </w:rPr>
      </w:pPr>
      <w:r>
        <w:rPr>
          <w:rFonts w:hint="eastAsia" w:ascii="宋体" w:hAnsi="宋体" w:eastAsia="宋体" w:cs="宋体"/>
          <w:b/>
          <w:i w:val="0"/>
          <w:caps w:val="0"/>
          <w:color w:val="000000" w:themeColor="text1"/>
          <w:spacing w:val="0"/>
          <w:sz w:val="44"/>
          <w:szCs w:val="44"/>
          <w:shd w:val="clear" w:fill="FFFFFF"/>
          <w14:textFill>
            <w14:solidFill>
              <w14:schemeClr w14:val="tx1"/>
            </w14:solidFill>
          </w14:textFill>
        </w:rPr>
        <w:t>教育部关于印发《中小学教师违反职业道德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000000" w:themeColor="text1"/>
          <w:spacing w:val="0"/>
          <w:sz w:val="44"/>
          <w:szCs w:val="44"/>
          <w14:textFill>
            <w14:solidFill>
              <w14:schemeClr w14:val="tx1"/>
            </w14:solidFill>
          </w14:textFill>
        </w:rPr>
      </w:pPr>
      <w:r>
        <w:rPr>
          <w:rFonts w:hint="eastAsia" w:ascii="宋体" w:hAnsi="宋体" w:eastAsia="宋体" w:cs="宋体"/>
          <w:b/>
          <w:i w:val="0"/>
          <w:caps w:val="0"/>
          <w:color w:val="000000" w:themeColor="text1"/>
          <w:spacing w:val="0"/>
          <w:sz w:val="44"/>
          <w:szCs w:val="44"/>
          <w:shd w:val="clear" w:fill="FFFFFF"/>
          <w14:textFill>
            <w14:solidFill>
              <w14:schemeClr w14:val="tx1"/>
            </w14:solidFill>
          </w14:textFill>
        </w:rPr>
        <w:t>行为处理办法（2018年修订）》的通知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教师〔2018〕18号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各省、自治区、直辖市教育厅（教委），新疆生产建设兵团教育局：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为深入贯彻习近平新时代中国特色社会主义思想和党的十九大精神，深入贯彻落实全国教育大会精神，扎实推进《中共中央 国务院关于全面深化新时代教师队伍建设改革的意见》的实施，进一步加强师德师风建设，我部对2014年印发的《中小学教师违反职业道德行为处理办法》进行了修订，现印发给你们，请遵照执行。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教　育　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2018年11月8日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val="0"/>
          <w:i w:val="0"/>
          <w:caps w:val="0"/>
          <w:color w:val="000000" w:themeColor="text1"/>
          <w:spacing w:val="0"/>
          <w:sz w:val="44"/>
          <w:szCs w:val="44"/>
          <w14:textFill>
            <w14:solidFill>
              <w14:schemeClr w14:val="tx1"/>
            </w14:solidFill>
          </w14:textFill>
        </w:rPr>
      </w:pPr>
      <w:r>
        <w:rPr>
          <w:rFonts w:hint="eastAsia" w:ascii="宋体" w:hAnsi="宋体" w:eastAsia="宋体" w:cs="宋体"/>
          <w:b/>
          <w:bCs w:val="0"/>
          <w:i w:val="0"/>
          <w:caps w:val="0"/>
          <w:color w:val="000000" w:themeColor="text1"/>
          <w:spacing w:val="0"/>
          <w:sz w:val="44"/>
          <w:szCs w:val="44"/>
          <w:shd w:val="clear" w:fill="FFFFFF"/>
          <w14:textFill>
            <w14:solidFill>
              <w14:schemeClr w14:val="tx1"/>
            </w14:solidFill>
          </w14:textFill>
        </w:rPr>
        <w:t>中小学教师违反职业道德行为处理办法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（2018年修订）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第一条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第二条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本办法所称中小学教师是指普通中小学、中等职业学校（含技工学校）、特殊教育机构、少年宫以及地方教研室、电化教育等机构的教师。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前款所称中小学教师包括民办学校教师。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第三条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本办法所称处理包括处分和其他处理。处分包括警告、记过、降低岗位等级或撤职、开除。警告期限为6个月，记过期限为12个月，降低岗位等级或撤职期限为24个月。是中共党员的，同时给予党纪处分。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其他处理包括给予批评教育、诫勉谈话、责令检查、通报批评，以及取消在评奖评优、职务晋升、职称评定、岗位聘用、工资晋级、申报人才计划等方面的资格。取消相关资格的处理执行期限不得少于24个月。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教师涉嫌违法犯罪的，及时移送司法机关依法处理。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第四条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应予处理的教师违反职业道德行为如下：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（一）在教育教学活动中及其他场合有损害党中央权威、违背党的路线方针政策的言行。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（二）损害国家利益、社会公共利益，或违背社会公序良俗。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（三）通过课堂、论坛、讲座、信息网络及其他渠道发表、转发错误观点，或编造散布虚假信息、不良信息。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（四）违反教学纪律，敷衍教学，或擅自从事影响教育教学本职工作的兼职兼薪行为。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（五）歧视、侮辱学生，虐待、伤害学生。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（六）在教育教学活动中遇突发事件、面临危险时，不顾学生安危，擅离职守，自行逃离。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（七）与学生发生不正当关系，有任何形式的猥亵、性骚扰行为。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（八）在招生、考试、推优、保送及绩效考核、岗位聘用、职称评聘、评优评奖等工作中徇私舞弊、弄虚作假。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（九）索要、收受学生及家长财物或参加由学生及家长付费的宴请、旅游、娱乐休闲等活动，向学生推销图书报刊、教辅材料、社会保险或利用家长资源谋取私利。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（十）组织、参与有偿补课，或为校外培训机构和他人介绍生源、提供相关信息。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（十一）其他违反职业道德的行为。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第五条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第六条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给予教师处理，应当坚持公平公正、教育与惩处相结合的原则；应当与其违反职业道德行为的性质、情节、危害程度相适应；应当事实清楚、证据确凿、定性准确、处理恰当、程序合法、手续完备。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第七条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给予教师处理按照以下权限决定：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（一）警告和记过处分，公办学校教师由所在学校提出建议，学校主管教育部门决定。民办学校教师由所在学校决定，报主管教育部门备案。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（二）降低岗位等级或撤职处分，由教师所在学校提出建议，学校主管教育部门决定并报同级人事部门备案。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（三）开除处分，公办学校教师由所在学校提出建议，学校主管教育部门决定并报同级人事部门备案。民办学校教师或者未纳入人事编制管理的教师由所在学校决定并解除其聘任合同，报主管教育部门备案。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四）给予批评教育、诫勉谈话、责令检查、通报批评，以及取消在评奖评优、职务晋升、职称评定、岗位聘用、工资晋级、申报人才计划等方面资格的其他处理，按照管理权限，由教师所在学校或主管部门视其情节轻重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第八条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处理决定应当书面通知教师本人并载明认定的事实、理由、依据、期限及申诉途径等内容。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第九条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教师不服处理决定的，可以向学校主管教育部门申请复核。对复核结果不服的，可以向学校主管教育部门的上一级行政部门提出申诉。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对教师的处理，在期满后根据悔改表现予以延期或解除，处理决定和处理解除决定都应完整存入人事档案及教师管理信息系统。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第十条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教师受到处分的，符合《教师资格条例》第十九条规定的，由县级以上教育行政部门依法撤销其教师资格。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教师受处分期间暂缓教师资格定期注册。依据《中华人民共和国教师法》第十四条规定丧失教师资格的，不能重新取得教师资格。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教师受记过以上处分期间不能参加专业技术职务任职资格评审。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第十一条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第十二条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（一）师德师风长效机制建设、日常教育督导不到位；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（二）师德失范问题排查发现不及时；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（三）对已发现的师德失范行为处置不力、方式不当或拒不处分、拖延处分、推诿隐瞒的；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（四）已作出的师德失范行为处理决定落实不到位，师德失范行为整改不彻底；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（五）多次出现师德失范问题或因师德失范行为引起不良社会影响；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（六）其他应当问责的失职失责情形。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第十三条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省级教育行政部门应当结合</w:t>
      </w:r>
      <w:bookmarkStart w:id="0" w:name="_GoBack"/>
      <w:bookmarkEnd w:id="0"/>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当地实际情况制定实施细则，并报国务院教育行政部门备案。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sz w:val="32"/>
          <w:szCs w:val="32"/>
          <w:shd w:val="clear" w:fill="FFFFFF"/>
          <w14:textFill>
            <w14:solidFill>
              <w14:schemeClr w14:val="tx1"/>
            </w14:solidFill>
          </w14:textFill>
        </w:rPr>
        <w:t>第十四条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本办法自发布之日起施行。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D33B2"/>
    <w:rsid w:val="484D33B2"/>
    <w:rsid w:val="6ACF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2021-02-25T09:35:00Z</dcterms:created>
  <dc:creator>WPS_1527946631</dc:creator>
  <cp:lastModifiedBy>WPS_1527946631</cp:lastModifiedBy>
  <dcterms:modified xsi:type="dcterms:W3CDTF">2021-02-25T10:01:34Z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